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B0" w:rsidRPr="00717EB0" w:rsidRDefault="00717EB0" w:rsidP="00717EB0">
      <w:pPr>
        <w:spacing w:after="0"/>
        <w:rPr>
          <w:rFonts w:asciiTheme="majorHAnsi" w:hAnsiTheme="majorHAnsi"/>
          <w:b/>
          <w:bCs/>
          <w:sz w:val="24"/>
          <w:szCs w:val="24"/>
          <w:lang w:val="tr-TR"/>
        </w:rPr>
      </w:pPr>
      <w:r w:rsidRPr="00717EB0">
        <w:rPr>
          <w:rFonts w:asciiTheme="majorHAnsi" w:hAnsiTheme="majorHAnsi"/>
          <w:b/>
          <w:bCs/>
          <w:sz w:val="24"/>
          <w:szCs w:val="24"/>
          <w:lang w:val="tr-TR"/>
        </w:rPr>
        <w:t>Sayı : 10</w:t>
      </w:r>
    </w:p>
    <w:p w:rsidR="006365FA" w:rsidRPr="00717EB0" w:rsidRDefault="00717EB0" w:rsidP="00717EB0">
      <w:pPr>
        <w:spacing w:after="0"/>
        <w:rPr>
          <w:rFonts w:asciiTheme="majorHAnsi" w:hAnsiTheme="majorHAnsi"/>
          <w:b/>
          <w:bCs/>
          <w:sz w:val="24"/>
          <w:szCs w:val="24"/>
          <w:lang w:val="tr-TR"/>
        </w:rPr>
      </w:pPr>
      <w:r w:rsidRPr="00717EB0">
        <w:rPr>
          <w:rFonts w:asciiTheme="majorHAnsi" w:hAnsiTheme="majorHAnsi"/>
          <w:b/>
          <w:bCs/>
          <w:sz w:val="24"/>
          <w:szCs w:val="24"/>
          <w:lang w:val="tr-TR"/>
        </w:rPr>
        <w:t xml:space="preserve">Konu: FIKIH KÖŞESİ YAZISI </w:t>
      </w:r>
    </w:p>
    <w:p w:rsidR="00065709" w:rsidRPr="00717EB0" w:rsidRDefault="00065709" w:rsidP="00065709">
      <w:pPr>
        <w:spacing w:after="0"/>
        <w:jc w:val="center"/>
        <w:rPr>
          <w:rFonts w:asciiTheme="majorHAnsi" w:hAnsiTheme="majorHAnsi"/>
          <w:b/>
          <w:bCs/>
          <w:sz w:val="24"/>
          <w:szCs w:val="24"/>
          <w:lang w:val="tr-TR"/>
        </w:rPr>
      </w:pPr>
    </w:p>
    <w:p w:rsidR="006365FA" w:rsidRPr="00717EB0" w:rsidRDefault="006365FA" w:rsidP="00065709">
      <w:pPr>
        <w:pStyle w:val="Listenabsatz"/>
        <w:numPr>
          <w:ilvl w:val="0"/>
          <w:numId w:val="1"/>
        </w:numPr>
        <w:spacing w:after="0"/>
        <w:ind w:left="1353"/>
        <w:jc w:val="both"/>
        <w:rPr>
          <w:rFonts w:asciiTheme="majorHAnsi" w:hAnsiTheme="majorHAnsi"/>
          <w:b/>
          <w:bCs/>
          <w:sz w:val="24"/>
          <w:szCs w:val="24"/>
          <w:lang w:val="tr-TR"/>
        </w:rPr>
      </w:pPr>
      <w:r w:rsidRPr="00717EB0">
        <w:rPr>
          <w:rFonts w:asciiTheme="majorHAnsi" w:hAnsiTheme="majorHAnsi"/>
          <w:b/>
          <w:bCs/>
          <w:sz w:val="24"/>
          <w:szCs w:val="24"/>
          <w:lang w:val="tr-TR"/>
        </w:rPr>
        <w:t xml:space="preserve">İslam’da tesettürün kapsamı nedir? </w:t>
      </w:r>
    </w:p>
    <w:p w:rsidR="0011454C" w:rsidRPr="00717EB0" w:rsidRDefault="0011454C" w:rsidP="0011454C">
      <w:pPr>
        <w:spacing w:after="0"/>
        <w:jc w:val="both"/>
        <w:rPr>
          <w:rFonts w:asciiTheme="majorHAnsi" w:hAnsiTheme="majorHAnsi"/>
          <w:b/>
          <w:bCs/>
          <w:sz w:val="24"/>
          <w:szCs w:val="24"/>
          <w:lang w:val="tr-TR"/>
        </w:rPr>
      </w:pPr>
    </w:p>
    <w:p w:rsidR="002C2FFC" w:rsidRPr="00717EB0" w:rsidRDefault="002C2FFC" w:rsidP="00065709">
      <w:pPr>
        <w:spacing w:after="0"/>
        <w:ind w:firstLine="708"/>
        <w:jc w:val="both"/>
        <w:rPr>
          <w:rFonts w:asciiTheme="majorHAnsi" w:hAnsiTheme="majorHAnsi"/>
          <w:sz w:val="24"/>
          <w:szCs w:val="24"/>
          <w:lang w:val="tr-TR"/>
        </w:rPr>
      </w:pPr>
      <w:r w:rsidRPr="00717EB0">
        <w:rPr>
          <w:rFonts w:asciiTheme="majorHAnsi" w:hAnsiTheme="majorHAnsi"/>
          <w:sz w:val="24"/>
          <w:szCs w:val="24"/>
          <w:lang w:val="tr-TR"/>
        </w:rPr>
        <w:t>Tesettür, Arapça bir kelimedir. Sözlükte, örtünmek, gizlenmek, bir şeyin içinde veya arkasına saklanmak anlamlarına gelir. Bir fıkıh terimi olarak ise, tesettür, erkek veya kadının dinen örtülmesi gereken yerlerini örtmesi, kapatması demektir. Bir kimsenin örtmesi gereken ve başkasının bakması haram olan yerlerine</w:t>
      </w:r>
      <w:r w:rsidRPr="00717EB0">
        <w:rPr>
          <w:rFonts w:asciiTheme="majorHAnsi" w:hAnsiTheme="majorHAnsi"/>
          <w:b/>
          <w:bCs/>
          <w:sz w:val="24"/>
          <w:szCs w:val="24"/>
          <w:lang w:val="tr-TR"/>
        </w:rPr>
        <w:t xml:space="preserve"> "avret mahalli/avret yeri" </w:t>
      </w:r>
      <w:r w:rsidRPr="00717EB0">
        <w:rPr>
          <w:rFonts w:asciiTheme="majorHAnsi" w:hAnsiTheme="majorHAnsi"/>
          <w:sz w:val="24"/>
          <w:szCs w:val="24"/>
          <w:lang w:val="tr-TR"/>
        </w:rPr>
        <w:t xml:space="preserve">denir. </w:t>
      </w:r>
    </w:p>
    <w:p w:rsidR="00E80188" w:rsidRPr="00717EB0" w:rsidRDefault="002C2FFC" w:rsidP="00065709">
      <w:pPr>
        <w:spacing w:after="0"/>
        <w:ind w:firstLine="708"/>
        <w:jc w:val="both"/>
        <w:rPr>
          <w:rFonts w:asciiTheme="majorHAnsi" w:hAnsiTheme="majorHAnsi"/>
          <w:sz w:val="24"/>
          <w:szCs w:val="24"/>
          <w:lang w:val="tr-TR"/>
        </w:rPr>
      </w:pPr>
      <w:r w:rsidRPr="00717EB0">
        <w:rPr>
          <w:rFonts w:asciiTheme="majorHAnsi" w:hAnsiTheme="majorHAnsi"/>
          <w:sz w:val="24"/>
          <w:szCs w:val="24"/>
          <w:lang w:val="tr-TR"/>
        </w:rPr>
        <w:t xml:space="preserve">Bu yukardaki tariflere göre, tesettür deyince hemen akla geldiği gibi, kadınların örtünmesi akla gelmemelidir. Çünkü tesettür aynı zaman da erkekleri de ilgilendiren bir olgudur. </w:t>
      </w:r>
      <w:r w:rsidRPr="00717EB0">
        <w:rPr>
          <w:rFonts w:asciiTheme="majorHAnsi" w:hAnsiTheme="majorHAnsi"/>
          <w:i/>
          <w:iCs/>
          <w:sz w:val="24"/>
          <w:szCs w:val="24"/>
          <w:lang w:val="tr-TR"/>
        </w:rPr>
        <w:t>“</w:t>
      </w:r>
      <w:r w:rsidRPr="00717EB0">
        <w:rPr>
          <w:rFonts w:asciiTheme="majorHAnsi" w:hAnsiTheme="majorHAnsi"/>
          <w:b/>
          <w:bCs/>
          <w:i/>
          <w:iCs/>
          <w:sz w:val="24"/>
          <w:szCs w:val="24"/>
          <w:lang w:val="tr-TR"/>
        </w:rPr>
        <w:t>Ey Adem oğulları! Şeytan ana ve babanızı kötü yerlerini kendilerine göstermek için elbiselerini soyarak nasıl cennetten çıkardıysa, sizi de aldatmasın.”</w:t>
      </w:r>
      <w:r w:rsidRPr="00717EB0">
        <w:rPr>
          <w:rFonts w:asciiTheme="majorHAnsi" w:hAnsiTheme="majorHAnsi"/>
          <w:b/>
          <w:bCs/>
          <w:i/>
          <w:iCs/>
          <w:sz w:val="24"/>
          <w:szCs w:val="24"/>
          <w:vertAlign w:val="superscript"/>
          <w:lang w:val="nl-NL"/>
        </w:rPr>
        <w:footnoteReference w:id="1"/>
      </w:r>
      <w:r w:rsidRPr="00717EB0">
        <w:rPr>
          <w:rFonts w:asciiTheme="majorHAnsi" w:hAnsiTheme="majorHAnsi"/>
          <w:i/>
          <w:iCs/>
          <w:sz w:val="24"/>
          <w:szCs w:val="24"/>
          <w:lang w:val="tr-TR"/>
        </w:rPr>
        <w:t xml:space="preserve"> </w:t>
      </w:r>
      <w:r w:rsidRPr="00717EB0">
        <w:rPr>
          <w:rFonts w:asciiTheme="majorHAnsi" w:hAnsiTheme="majorHAnsi"/>
          <w:b/>
          <w:bCs/>
          <w:i/>
          <w:iCs/>
          <w:sz w:val="24"/>
          <w:szCs w:val="24"/>
          <w:lang w:val="tr-TR"/>
        </w:rPr>
        <w:t>“Nihayet ondan yediler. Bunun üzerine kendilerine ayıp yerleri göründü. Üstlerini cennet yaprağı ile örtmeye çalıştılar. (Bu suretle) Âdem Rabbine asi olup yolunu şaşırdı.”</w:t>
      </w:r>
      <w:r w:rsidRPr="00717EB0">
        <w:rPr>
          <w:rFonts w:asciiTheme="majorHAnsi" w:hAnsiTheme="majorHAnsi"/>
          <w:b/>
          <w:bCs/>
          <w:sz w:val="24"/>
          <w:szCs w:val="24"/>
          <w:vertAlign w:val="superscript"/>
          <w:lang w:val="tr-TR"/>
        </w:rPr>
        <w:footnoteReference w:id="2"/>
      </w:r>
      <w:r w:rsidRPr="00717EB0">
        <w:rPr>
          <w:rFonts w:asciiTheme="majorHAnsi" w:hAnsiTheme="majorHAnsi"/>
          <w:b/>
          <w:bCs/>
          <w:i/>
          <w:iCs/>
          <w:sz w:val="24"/>
          <w:szCs w:val="24"/>
          <w:lang w:val="tr-TR"/>
        </w:rPr>
        <w:t xml:space="preserve"> </w:t>
      </w:r>
      <w:r w:rsidR="0083374F" w:rsidRPr="00717EB0">
        <w:rPr>
          <w:rFonts w:asciiTheme="majorHAnsi" w:hAnsiTheme="majorHAnsi"/>
          <w:sz w:val="24"/>
          <w:szCs w:val="24"/>
          <w:lang w:val="tr-TR"/>
        </w:rPr>
        <w:t xml:space="preserve">ayetlerine göz atarsak görürüz ki, ilk örtü, ilk insanlar Hz. Adem (a.s.) ve Hz. Havva  validemizle başlamış ve ayetlerde örtünme ihtiyacı, hem erkeğin hem de kadının </w:t>
      </w:r>
      <w:r w:rsidR="00E80188" w:rsidRPr="00717EB0">
        <w:rPr>
          <w:rFonts w:asciiTheme="majorHAnsi" w:hAnsiTheme="majorHAnsi"/>
          <w:sz w:val="24"/>
          <w:szCs w:val="24"/>
          <w:lang w:val="tr-TR"/>
        </w:rPr>
        <w:t>görülmemesi gereken yerlerini kapatmaları noktasında bir gereksinim</w:t>
      </w:r>
      <w:r w:rsidR="0083374F" w:rsidRPr="00717EB0">
        <w:rPr>
          <w:rFonts w:asciiTheme="majorHAnsi" w:hAnsiTheme="majorHAnsi"/>
          <w:sz w:val="24"/>
          <w:szCs w:val="24"/>
          <w:lang w:val="tr-TR"/>
        </w:rPr>
        <w:t xml:space="preserve"> olarak ortaya çıkmıştır. </w:t>
      </w:r>
    </w:p>
    <w:p w:rsidR="00F42BFE" w:rsidRPr="00717EB0" w:rsidRDefault="00E80188" w:rsidP="00065709">
      <w:pPr>
        <w:spacing w:after="0"/>
        <w:ind w:firstLine="708"/>
        <w:jc w:val="both"/>
        <w:rPr>
          <w:rFonts w:asciiTheme="majorHAnsi" w:eastAsia="Calibri" w:hAnsiTheme="majorHAnsi" w:cs="Arial"/>
          <w:sz w:val="24"/>
          <w:szCs w:val="24"/>
          <w:lang w:val="tr-TR"/>
        </w:rPr>
      </w:pPr>
      <w:r w:rsidRPr="00717EB0">
        <w:rPr>
          <w:rFonts w:asciiTheme="majorHAnsi" w:hAnsiTheme="majorHAnsi"/>
          <w:sz w:val="24"/>
          <w:szCs w:val="24"/>
          <w:lang w:val="tr-TR"/>
        </w:rPr>
        <w:t xml:space="preserve">Diğer taraftan </w:t>
      </w:r>
      <w:r w:rsidR="0083374F" w:rsidRPr="00717EB0">
        <w:rPr>
          <w:rFonts w:asciiTheme="majorHAnsi" w:hAnsiTheme="majorHAnsi"/>
          <w:sz w:val="24"/>
          <w:szCs w:val="24"/>
          <w:lang w:val="tr-TR"/>
        </w:rPr>
        <w:t xml:space="preserve"> </w:t>
      </w:r>
      <w:r w:rsidRPr="00717EB0">
        <w:rPr>
          <w:rFonts w:asciiTheme="majorHAnsi" w:hAnsiTheme="majorHAnsi"/>
          <w:sz w:val="24"/>
          <w:szCs w:val="24"/>
          <w:lang w:val="tr-TR"/>
        </w:rPr>
        <w:t xml:space="preserve">örtünme, süslenme, güzel ve tertipli giyim için de lüzumludur. İşte </w:t>
      </w:r>
      <w:r w:rsidRPr="00717EB0">
        <w:rPr>
          <w:rFonts w:asciiTheme="majorHAnsi" w:hAnsiTheme="majorHAnsi"/>
          <w:b/>
          <w:bCs/>
          <w:i/>
          <w:iCs/>
          <w:sz w:val="24"/>
          <w:szCs w:val="24"/>
          <w:lang w:val="tr-TR"/>
        </w:rPr>
        <w:t>“Ey Ademoğulları! Her mescide gelişte zinetinizi giyin.”</w:t>
      </w:r>
      <w:r w:rsidRPr="00717EB0">
        <w:rPr>
          <w:rFonts w:asciiTheme="majorHAnsi" w:hAnsiTheme="majorHAnsi"/>
          <w:sz w:val="24"/>
          <w:szCs w:val="24"/>
          <w:vertAlign w:val="superscript"/>
          <w:lang w:val="nl-NL"/>
        </w:rPr>
        <w:footnoteReference w:id="3"/>
      </w:r>
      <w:r w:rsidRPr="00717EB0">
        <w:rPr>
          <w:rFonts w:asciiTheme="majorHAnsi" w:hAnsiTheme="majorHAnsi"/>
          <w:sz w:val="24"/>
          <w:szCs w:val="24"/>
          <w:lang w:val="tr-TR"/>
        </w:rPr>
        <w:t xml:space="preserve"> </w:t>
      </w:r>
      <w:r w:rsidR="00F91C03" w:rsidRPr="00717EB0">
        <w:rPr>
          <w:rFonts w:asciiTheme="majorHAnsi" w:hAnsiTheme="majorHAnsi" w:cstheme="minorHAnsi"/>
          <w:sz w:val="24"/>
          <w:szCs w:val="24"/>
          <w:lang w:val="tr-TR"/>
        </w:rPr>
        <w:t>â</w:t>
      </w:r>
      <w:r w:rsidR="00F91C03" w:rsidRPr="00717EB0">
        <w:rPr>
          <w:rFonts w:asciiTheme="majorHAnsi" w:hAnsiTheme="majorHAnsi"/>
          <w:sz w:val="24"/>
          <w:szCs w:val="24"/>
          <w:lang w:val="tr-TR"/>
        </w:rPr>
        <w:t xml:space="preserve">yetindeki </w:t>
      </w:r>
      <w:r w:rsidR="00F91C03" w:rsidRPr="00717EB0">
        <w:rPr>
          <w:rFonts w:asciiTheme="majorHAnsi" w:hAnsiTheme="majorHAnsi"/>
          <w:b/>
          <w:bCs/>
          <w:sz w:val="24"/>
          <w:szCs w:val="24"/>
          <w:lang w:val="tr-TR"/>
        </w:rPr>
        <w:t>“z</w:t>
      </w:r>
      <w:r w:rsidR="00F91C03" w:rsidRPr="00717EB0">
        <w:rPr>
          <w:rFonts w:asciiTheme="majorHAnsi" w:hAnsiTheme="majorHAnsi" w:cstheme="minorHAnsi"/>
          <w:b/>
          <w:bCs/>
          <w:sz w:val="24"/>
          <w:szCs w:val="24"/>
          <w:lang w:val="tr-TR"/>
        </w:rPr>
        <w:t>î</w:t>
      </w:r>
      <w:r w:rsidR="00F91C03" w:rsidRPr="00717EB0">
        <w:rPr>
          <w:rFonts w:asciiTheme="majorHAnsi" w:hAnsiTheme="majorHAnsi"/>
          <w:b/>
          <w:bCs/>
          <w:sz w:val="24"/>
          <w:szCs w:val="24"/>
          <w:lang w:val="tr-TR"/>
        </w:rPr>
        <w:t>net”</w:t>
      </w:r>
      <w:r w:rsidR="00F91C03" w:rsidRPr="00717EB0">
        <w:rPr>
          <w:rFonts w:asciiTheme="majorHAnsi" w:hAnsiTheme="majorHAnsi"/>
          <w:sz w:val="24"/>
          <w:szCs w:val="24"/>
          <w:lang w:val="tr-TR"/>
        </w:rPr>
        <w:t xml:space="preserve">  tavsiyesi bu anlamda olması gereken tesettürü içermektedir. Çünkü âyet-i ker</w:t>
      </w:r>
      <w:r w:rsidR="00F91C03" w:rsidRPr="00717EB0">
        <w:rPr>
          <w:rFonts w:asciiTheme="majorHAnsi" w:hAnsiTheme="majorHAnsi" w:cstheme="minorHAnsi"/>
          <w:sz w:val="24"/>
          <w:szCs w:val="24"/>
          <w:lang w:val="tr-TR"/>
        </w:rPr>
        <w:t>î</w:t>
      </w:r>
      <w:r w:rsidR="00F91C03" w:rsidRPr="00717EB0">
        <w:rPr>
          <w:rFonts w:asciiTheme="majorHAnsi" w:hAnsiTheme="majorHAnsi"/>
          <w:sz w:val="24"/>
          <w:szCs w:val="24"/>
          <w:lang w:val="tr-TR"/>
        </w:rPr>
        <w:t xml:space="preserve">medeki </w:t>
      </w:r>
      <w:r w:rsidR="00F91C03" w:rsidRPr="00717EB0">
        <w:rPr>
          <w:rFonts w:asciiTheme="majorHAnsi" w:hAnsiTheme="majorHAnsi"/>
          <w:b/>
          <w:bCs/>
          <w:sz w:val="24"/>
          <w:szCs w:val="24"/>
          <w:lang w:val="tr-TR"/>
        </w:rPr>
        <w:t>“zînet”</w:t>
      </w:r>
      <w:r w:rsidR="00F91C03" w:rsidRPr="00717EB0">
        <w:rPr>
          <w:rFonts w:asciiTheme="majorHAnsi" w:hAnsiTheme="majorHAnsi"/>
          <w:sz w:val="24"/>
          <w:szCs w:val="24"/>
          <w:lang w:val="tr-TR"/>
        </w:rPr>
        <w:t xml:space="preserve"> kelimesi elbise ve giysi olarak tefsir edilmiş; nama</w:t>
      </w:r>
      <w:r w:rsidRPr="00717EB0">
        <w:rPr>
          <w:rFonts w:asciiTheme="majorHAnsi" w:hAnsiTheme="majorHAnsi"/>
          <w:sz w:val="24"/>
          <w:szCs w:val="24"/>
          <w:lang w:val="tr-TR"/>
        </w:rPr>
        <w:t xml:space="preserve">z ve tavaf gibi ibadetlerde avret yerlerinin örtülmesi farîzasını </w:t>
      </w:r>
      <w:r w:rsidR="00F91C03" w:rsidRPr="00717EB0">
        <w:rPr>
          <w:rFonts w:asciiTheme="majorHAnsi" w:hAnsiTheme="majorHAnsi"/>
          <w:sz w:val="24"/>
          <w:szCs w:val="24"/>
          <w:lang w:val="tr-TR"/>
        </w:rPr>
        <w:t xml:space="preserve">da </w:t>
      </w:r>
      <w:r w:rsidRPr="00717EB0">
        <w:rPr>
          <w:rFonts w:asciiTheme="majorHAnsi" w:hAnsiTheme="majorHAnsi"/>
          <w:sz w:val="24"/>
          <w:szCs w:val="24"/>
          <w:lang w:val="tr-TR"/>
        </w:rPr>
        <w:t>İsl</w:t>
      </w:r>
      <w:r w:rsidR="00F91C03" w:rsidRPr="00717EB0">
        <w:rPr>
          <w:rFonts w:asciiTheme="majorHAnsi" w:hAnsiTheme="majorHAnsi" w:cstheme="minorHAnsi"/>
          <w:sz w:val="24"/>
          <w:szCs w:val="24"/>
          <w:lang w:val="tr-TR"/>
        </w:rPr>
        <w:t>â</w:t>
      </w:r>
      <w:r w:rsidRPr="00717EB0">
        <w:rPr>
          <w:rFonts w:asciiTheme="majorHAnsi" w:hAnsiTheme="majorHAnsi"/>
          <w:sz w:val="24"/>
          <w:szCs w:val="24"/>
          <w:lang w:val="tr-TR"/>
        </w:rPr>
        <w:t>m getirmiş olmuştur.</w:t>
      </w:r>
      <w:r w:rsidRPr="00717EB0">
        <w:rPr>
          <w:rFonts w:asciiTheme="majorHAnsi" w:hAnsiTheme="majorHAnsi"/>
          <w:sz w:val="24"/>
          <w:szCs w:val="24"/>
          <w:vertAlign w:val="superscript"/>
          <w:lang w:val="nl-NL"/>
        </w:rPr>
        <w:footnoteReference w:id="4"/>
      </w:r>
      <w:r w:rsidR="00F42BFE" w:rsidRPr="00717EB0">
        <w:rPr>
          <w:rFonts w:asciiTheme="majorHAnsi" w:eastAsia="Calibri" w:hAnsiTheme="majorHAnsi" w:cs="Arial"/>
          <w:sz w:val="24"/>
          <w:szCs w:val="24"/>
          <w:lang w:val="tr-TR"/>
        </w:rPr>
        <w:t xml:space="preserve"> </w:t>
      </w:r>
    </w:p>
    <w:p w:rsidR="002C2FFC" w:rsidRPr="00717EB0" w:rsidRDefault="00F42BFE" w:rsidP="00065709">
      <w:pPr>
        <w:spacing w:after="0"/>
        <w:ind w:firstLine="708"/>
        <w:jc w:val="both"/>
        <w:rPr>
          <w:rFonts w:asciiTheme="majorHAnsi" w:hAnsiTheme="majorHAnsi"/>
          <w:sz w:val="24"/>
          <w:szCs w:val="24"/>
          <w:lang w:val="tr-TR"/>
        </w:rPr>
      </w:pPr>
      <w:r w:rsidRPr="00717EB0">
        <w:rPr>
          <w:rFonts w:asciiTheme="majorHAnsi" w:hAnsiTheme="majorHAnsi"/>
          <w:sz w:val="24"/>
          <w:szCs w:val="24"/>
          <w:lang w:val="tr-TR"/>
        </w:rPr>
        <w:t xml:space="preserve">Erkeklerin kendi eşleri dışındaki kimselerin yanında ya da namazda, göbekle diz kapağı arasını örtmeleri farzdır. Sağlam görüşe göre diz kapağı da avret yeri kapsamına girer. </w:t>
      </w:r>
      <w:r w:rsidR="00E80188" w:rsidRPr="00717EB0">
        <w:rPr>
          <w:rFonts w:asciiTheme="majorHAnsi" w:hAnsiTheme="majorHAnsi"/>
          <w:sz w:val="24"/>
          <w:szCs w:val="24"/>
          <w:lang w:val="tr-TR"/>
        </w:rPr>
        <w:t xml:space="preserve"> </w:t>
      </w:r>
      <w:r w:rsidRPr="00717EB0">
        <w:rPr>
          <w:rFonts w:asciiTheme="majorHAnsi" w:hAnsiTheme="majorHAnsi"/>
          <w:sz w:val="24"/>
          <w:szCs w:val="24"/>
          <w:lang w:val="tr-TR"/>
        </w:rPr>
        <w:t>Kadınların ise,  el, yüz ve ayakları dışında, sarkan saçları dahil bütün bedenleri namazda veya yabancı erkeklerin yanında örtülmesi gerekli olan yerlerdir. Nur S</w:t>
      </w:r>
      <w:r w:rsidRPr="00717EB0">
        <w:rPr>
          <w:rFonts w:asciiTheme="majorHAnsi" w:hAnsiTheme="majorHAnsi" w:cstheme="minorHAnsi"/>
          <w:sz w:val="24"/>
          <w:szCs w:val="24"/>
          <w:lang w:val="tr-TR"/>
        </w:rPr>
        <w:t>ȗ</w:t>
      </w:r>
      <w:r w:rsidRPr="00717EB0">
        <w:rPr>
          <w:rFonts w:asciiTheme="majorHAnsi" w:hAnsiTheme="majorHAnsi"/>
          <w:sz w:val="24"/>
          <w:szCs w:val="24"/>
          <w:lang w:val="tr-TR"/>
        </w:rPr>
        <w:t xml:space="preserve">re'sinin 31. </w:t>
      </w:r>
      <w:r w:rsidRPr="00717EB0">
        <w:rPr>
          <w:rFonts w:asciiTheme="majorHAnsi" w:hAnsiTheme="majorHAnsi" w:cstheme="minorHAnsi"/>
          <w:sz w:val="24"/>
          <w:szCs w:val="24"/>
          <w:lang w:val="tr-TR"/>
        </w:rPr>
        <w:t>â</w:t>
      </w:r>
      <w:r w:rsidRPr="00717EB0">
        <w:rPr>
          <w:rFonts w:asciiTheme="majorHAnsi" w:hAnsiTheme="majorHAnsi"/>
          <w:sz w:val="24"/>
          <w:szCs w:val="24"/>
          <w:lang w:val="tr-TR"/>
        </w:rPr>
        <w:t xml:space="preserve">yetindeki, baş örtüsü </w:t>
      </w:r>
      <w:r w:rsidRPr="00717EB0">
        <w:rPr>
          <w:rFonts w:asciiTheme="majorHAnsi" w:hAnsiTheme="majorHAnsi"/>
          <w:b/>
          <w:bCs/>
          <w:sz w:val="24"/>
          <w:szCs w:val="24"/>
          <w:lang w:val="tr-TR"/>
        </w:rPr>
        <w:t>(hımar-humur)</w:t>
      </w:r>
      <w:r w:rsidRPr="00717EB0">
        <w:rPr>
          <w:rFonts w:asciiTheme="majorHAnsi" w:hAnsiTheme="majorHAnsi"/>
          <w:sz w:val="24"/>
          <w:szCs w:val="24"/>
          <w:lang w:val="tr-TR"/>
        </w:rPr>
        <w:t xml:space="preserve"> ve Ahzab S</w:t>
      </w:r>
      <w:r w:rsidRPr="00717EB0">
        <w:rPr>
          <w:rFonts w:asciiTheme="majorHAnsi" w:hAnsiTheme="majorHAnsi" w:cstheme="minorHAnsi"/>
          <w:sz w:val="24"/>
          <w:szCs w:val="24"/>
          <w:lang w:val="tr-TR"/>
        </w:rPr>
        <w:t>ȗ</w:t>
      </w:r>
      <w:r w:rsidRPr="00717EB0">
        <w:rPr>
          <w:rFonts w:asciiTheme="majorHAnsi" w:hAnsiTheme="majorHAnsi"/>
          <w:sz w:val="24"/>
          <w:szCs w:val="24"/>
          <w:lang w:val="tr-TR"/>
        </w:rPr>
        <w:t xml:space="preserve">resinin 59. </w:t>
      </w:r>
      <w:r w:rsidRPr="00717EB0">
        <w:rPr>
          <w:rFonts w:asciiTheme="majorHAnsi" w:hAnsiTheme="majorHAnsi" w:cstheme="minorHAnsi"/>
          <w:sz w:val="24"/>
          <w:szCs w:val="24"/>
          <w:lang w:val="tr-TR"/>
        </w:rPr>
        <w:t>â</w:t>
      </w:r>
      <w:r w:rsidRPr="00717EB0">
        <w:rPr>
          <w:rFonts w:asciiTheme="majorHAnsi" w:hAnsiTheme="majorHAnsi"/>
          <w:sz w:val="24"/>
          <w:szCs w:val="24"/>
          <w:lang w:val="tr-TR"/>
        </w:rPr>
        <w:t xml:space="preserve">yetindeki dış giysi </w:t>
      </w:r>
      <w:r w:rsidRPr="00717EB0">
        <w:rPr>
          <w:rFonts w:asciiTheme="majorHAnsi" w:hAnsiTheme="majorHAnsi"/>
          <w:b/>
          <w:bCs/>
          <w:sz w:val="24"/>
          <w:szCs w:val="24"/>
          <w:lang w:val="tr-TR"/>
        </w:rPr>
        <w:t>(cilbab-celabîb)</w:t>
      </w:r>
      <w:r w:rsidRPr="00717EB0">
        <w:rPr>
          <w:rFonts w:asciiTheme="majorHAnsi" w:hAnsiTheme="majorHAnsi"/>
          <w:sz w:val="24"/>
          <w:szCs w:val="24"/>
          <w:lang w:val="tr-TR"/>
        </w:rPr>
        <w:t xml:space="preserve"> terimleri birlikte değerlendirilince, kadın</w:t>
      </w:r>
      <w:r w:rsidR="005C5137" w:rsidRPr="00717EB0">
        <w:rPr>
          <w:rFonts w:asciiTheme="majorHAnsi" w:hAnsiTheme="majorHAnsi"/>
          <w:sz w:val="24"/>
          <w:szCs w:val="24"/>
          <w:lang w:val="tr-TR"/>
        </w:rPr>
        <w:t>ın</w:t>
      </w:r>
      <w:r w:rsidRPr="00717EB0">
        <w:rPr>
          <w:rFonts w:asciiTheme="majorHAnsi" w:hAnsiTheme="majorHAnsi"/>
          <w:sz w:val="24"/>
          <w:szCs w:val="24"/>
          <w:lang w:val="tr-TR"/>
        </w:rPr>
        <w:t xml:space="preserve"> iki parçalı bir giysi şekli</w:t>
      </w:r>
      <w:r w:rsidR="005C5137" w:rsidRPr="00717EB0">
        <w:rPr>
          <w:rFonts w:asciiTheme="majorHAnsi" w:hAnsiTheme="majorHAnsi"/>
          <w:sz w:val="24"/>
          <w:szCs w:val="24"/>
          <w:lang w:val="tr-TR"/>
        </w:rPr>
        <w:t xml:space="preserve">yle örtünmesi istenmektedir. </w:t>
      </w:r>
    </w:p>
    <w:p w:rsidR="005C5137" w:rsidRPr="00717EB0" w:rsidRDefault="006365FA" w:rsidP="00065709">
      <w:pPr>
        <w:pStyle w:val="Listenabsatz"/>
        <w:numPr>
          <w:ilvl w:val="0"/>
          <w:numId w:val="1"/>
        </w:numPr>
        <w:spacing w:after="0"/>
        <w:ind w:left="1353"/>
        <w:jc w:val="both"/>
        <w:rPr>
          <w:rFonts w:asciiTheme="majorHAnsi" w:hAnsiTheme="majorHAnsi"/>
          <w:b/>
          <w:bCs/>
          <w:sz w:val="24"/>
          <w:szCs w:val="24"/>
          <w:lang w:val="tr-TR"/>
        </w:rPr>
      </w:pPr>
      <w:r w:rsidRPr="00717EB0">
        <w:rPr>
          <w:rFonts w:asciiTheme="majorHAnsi" w:hAnsiTheme="majorHAnsi"/>
          <w:b/>
          <w:bCs/>
          <w:sz w:val="24"/>
          <w:szCs w:val="24"/>
          <w:lang w:val="tr-TR"/>
        </w:rPr>
        <w:t xml:space="preserve">Kadınların ev dışında takı takmaları örneğin yüzük ve bilezik vs. caizmidir?  Takılar tesettür kapsamında mıdır? </w:t>
      </w:r>
    </w:p>
    <w:p w:rsidR="005C5137" w:rsidRPr="00717EB0" w:rsidRDefault="005C5137" w:rsidP="00065709">
      <w:pPr>
        <w:spacing w:after="0"/>
        <w:ind w:firstLine="708"/>
        <w:jc w:val="both"/>
        <w:rPr>
          <w:rFonts w:asciiTheme="majorHAnsi" w:hAnsiTheme="majorHAnsi"/>
          <w:sz w:val="24"/>
          <w:szCs w:val="24"/>
          <w:lang w:val="tr-TR"/>
        </w:rPr>
      </w:pPr>
      <w:r w:rsidRPr="00717EB0">
        <w:rPr>
          <w:rFonts w:asciiTheme="majorHAnsi" w:hAnsiTheme="majorHAnsi"/>
          <w:b/>
          <w:bCs/>
          <w:i/>
          <w:iCs/>
          <w:sz w:val="24"/>
          <w:szCs w:val="24"/>
          <w:lang w:val="tr-TR"/>
        </w:rPr>
        <w:t xml:space="preserve">“Zinet yerlerini açmasınlar. Bunlardan kendiliğinden görünen kısmı müstesnadır.” </w:t>
      </w:r>
      <w:r w:rsidRPr="00717EB0">
        <w:rPr>
          <w:rFonts w:asciiTheme="majorHAnsi" w:hAnsiTheme="majorHAnsi"/>
          <w:b/>
          <w:bCs/>
          <w:sz w:val="24"/>
          <w:szCs w:val="24"/>
          <w:lang w:val="tr-TR"/>
        </w:rPr>
        <w:t xml:space="preserve">(Nur, 24:31) </w:t>
      </w:r>
      <w:r w:rsidRPr="00717EB0">
        <w:rPr>
          <w:rFonts w:asciiTheme="majorHAnsi" w:hAnsiTheme="majorHAnsi" w:cstheme="minorHAnsi"/>
          <w:sz w:val="24"/>
          <w:szCs w:val="24"/>
          <w:lang w:val="tr-TR"/>
        </w:rPr>
        <w:t>â</w:t>
      </w:r>
      <w:r w:rsidRPr="00717EB0">
        <w:rPr>
          <w:rFonts w:asciiTheme="majorHAnsi" w:hAnsiTheme="majorHAnsi"/>
          <w:sz w:val="24"/>
          <w:szCs w:val="24"/>
          <w:lang w:val="tr-TR"/>
        </w:rPr>
        <w:t xml:space="preserve">yetinde geçen “zinet yerleri” ve “kendiliğinden görünen kısım müstesna” üzerinde yapılan ictihadlara göre, zinetlerin takılı bulunduğu yerlerden el ve yüze takılan süs eşyalarının takılmasında bir problem yoktur. Ama kapatılması </w:t>
      </w:r>
      <w:r w:rsidRPr="00717EB0">
        <w:rPr>
          <w:rFonts w:asciiTheme="majorHAnsi" w:hAnsiTheme="majorHAnsi"/>
          <w:sz w:val="24"/>
          <w:szCs w:val="24"/>
          <w:lang w:val="tr-TR"/>
        </w:rPr>
        <w:lastRenderedPageBreak/>
        <w:t>gereken k</w:t>
      </w:r>
      <w:r w:rsidR="00223B82" w:rsidRPr="00717EB0">
        <w:rPr>
          <w:rFonts w:asciiTheme="majorHAnsi" w:hAnsiTheme="majorHAnsi"/>
          <w:sz w:val="24"/>
          <w:szCs w:val="24"/>
          <w:lang w:val="tr-TR"/>
        </w:rPr>
        <w:t xml:space="preserve">ulak, gerdan, el ve ayak bileklerine takılan süs eşyalarının ki, bunlar, küpe, gerdanlık, bilezik ve halhaldır; açıktan takılması caiz değildir. </w:t>
      </w:r>
      <w:r w:rsidRPr="00717EB0">
        <w:rPr>
          <w:rFonts w:asciiTheme="majorHAnsi" w:hAnsiTheme="majorHAnsi"/>
          <w:sz w:val="24"/>
          <w:szCs w:val="24"/>
          <w:lang w:val="tr-TR"/>
        </w:rPr>
        <w:t xml:space="preserve">   </w:t>
      </w:r>
    </w:p>
    <w:p w:rsidR="006365FA" w:rsidRPr="00717EB0" w:rsidRDefault="006365FA" w:rsidP="00065709">
      <w:pPr>
        <w:pStyle w:val="Listenabsatz"/>
        <w:numPr>
          <w:ilvl w:val="0"/>
          <w:numId w:val="1"/>
        </w:numPr>
        <w:spacing w:after="0"/>
        <w:jc w:val="both"/>
        <w:rPr>
          <w:rFonts w:asciiTheme="majorHAnsi" w:hAnsiTheme="majorHAnsi"/>
          <w:b/>
          <w:bCs/>
          <w:sz w:val="24"/>
          <w:szCs w:val="24"/>
          <w:lang w:val="tr-TR"/>
        </w:rPr>
      </w:pPr>
      <w:r w:rsidRPr="00717EB0">
        <w:rPr>
          <w:rFonts w:asciiTheme="majorHAnsi" w:hAnsiTheme="majorHAnsi"/>
          <w:b/>
          <w:bCs/>
          <w:sz w:val="24"/>
          <w:szCs w:val="24"/>
          <w:lang w:val="tr-TR"/>
        </w:rPr>
        <w:t xml:space="preserve">Tesettür denince akla ilk kadınlar geliyor ama erkeğin de tesettürü olduğunu biliyoruz. Erkelerin tesettür hususunda nelere dikkat etmeleri gerekir, mesela bir erkek dar pantolon ve gömlekle namaz kılabilir mi? </w:t>
      </w:r>
    </w:p>
    <w:p w:rsidR="00065709" w:rsidRPr="00717EB0" w:rsidRDefault="00223B82" w:rsidP="00065709">
      <w:pPr>
        <w:spacing w:after="0"/>
        <w:ind w:firstLine="708"/>
        <w:jc w:val="both"/>
        <w:rPr>
          <w:rFonts w:asciiTheme="majorHAnsi" w:hAnsiTheme="majorHAnsi"/>
          <w:sz w:val="24"/>
          <w:szCs w:val="24"/>
          <w:lang w:val="tr-TR"/>
        </w:rPr>
      </w:pPr>
      <w:r w:rsidRPr="00717EB0">
        <w:rPr>
          <w:rFonts w:asciiTheme="majorHAnsi" w:hAnsiTheme="majorHAnsi"/>
          <w:sz w:val="24"/>
          <w:szCs w:val="24"/>
          <w:lang w:val="tr-TR"/>
        </w:rPr>
        <w:t xml:space="preserve">Yukarda da ifade edildiği gibi, tesettür sadece kadınlara mahsus bir zorunluluk değildir. Erkekler de tesettürle muhataptırlar. </w:t>
      </w:r>
      <w:r w:rsidR="001071D6" w:rsidRPr="00717EB0">
        <w:rPr>
          <w:rFonts w:asciiTheme="majorHAnsi" w:hAnsiTheme="majorHAnsi"/>
          <w:sz w:val="24"/>
          <w:szCs w:val="24"/>
          <w:lang w:val="tr-TR"/>
        </w:rPr>
        <w:t>Gerçi erkeklerin ibadetlerini yerine getirirken onlara lazım olan örtünün sınırları belirtildi. Ama bir de toplumun giyim ve kuşamda oluşmuş ve İsl</w:t>
      </w:r>
      <w:r w:rsidR="001071D6" w:rsidRPr="00717EB0">
        <w:rPr>
          <w:rFonts w:asciiTheme="majorHAnsi" w:hAnsiTheme="majorHAnsi" w:cstheme="minorHAnsi"/>
          <w:sz w:val="24"/>
          <w:szCs w:val="24"/>
          <w:lang w:val="tr-TR"/>
        </w:rPr>
        <w:t>â</w:t>
      </w:r>
      <w:r w:rsidR="001071D6" w:rsidRPr="00717EB0">
        <w:rPr>
          <w:rFonts w:asciiTheme="majorHAnsi" w:hAnsiTheme="majorHAnsi"/>
          <w:sz w:val="24"/>
          <w:szCs w:val="24"/>
          <w:lang w:val="tr-TR"/>
        </w:rPr>
        <w:t xml:space="preserve">m’ın ruhuna uygun örf ve </w:t>
      </w:r>
      <w:r w:rsidR="001071D6" w:rsidRPr="00717EB0">
        <w:rPr>
          <w:rFonts w:asciiTheme="majorHAnsi" w:hAnsiTheme="majorHAnsi" w:cstheme="minorHAnsi"/>
          <w:sz w:val="24"/>
          <w:szCs w:val="24"/>
          <w:lang w:val="tr-TR"/>
        </w:rPr>
        <w:t>â</w:t>
      </w:r>
      <w:r w:rsidR="001071D6" w:rsidRPr="00717EB0">
        <w:rPr>
          <w:rFonts w:asciiTheme="majorHAnsi" w:hAnsiTheme="majorHAnsi"/>
          <w:sz w:val="24"/>
          <w:szCs w:val="24"/>
          <w:lang w:val="tr-TR"/>
        </w:rPr>
        <w:t xml:space="preserve">detleri vardır. Buna göre, elbisenin geniş, sık dokunmuş altını göstermeyen kumaştan, kapatılması lazım olan kısımları kaplayan ve vücut hatlarını göstermeyecek kadar bol olması gerekir. Buna rağmen cild örtülmüş olması sebebiyle dar pantolon ve gömlekle kılınan namaz kerahetle geçerli olur demişlerdir. </w:t>
      </w:r>
    </w:p>
    <w:p w:rsidR="006365FA" w:rsidRPr="00717EB0" w:rsidRDefault="006365FA" w:rsidP="00065709">
      <w:pPr>
        <w:pStyle w:val="Listenabsatz"/>
        <w:numPr>
          <w:ilvl w:val="0"/>
          <w:numId w:val="1"/>
        </w:numPr>
        <w:spacing w:after="0"/>
        <w:jc w:val="both"/>
        <w:rPr>
          <w:rFonts w:asciiTheme="majorHAnsi" w:hAnsiTheme="majorHAnsi"/>
          <w:b/>
          <w:bCs/>
          <w:sz w:val="24"/>
          <w:szCs w:val="24"/>
          <w:lang w:val="tr-TR"/>
        </w:rPr>
      </w:pPr>
      <w:r w:rsidRPr="00717EB0">
        <w:rPr>
          <w:rFonts w:asciiTheme="majorHAnsi" w:hAnsiTheme="majorHAnsi"/>
          <w:b/>
          <w:bCs/>
          <w:sz w:val="24"/>
          <w:szCs w:val="24"/>
          <w:lang w:val="tr-TR"/>
        </w:rPr>
        <w:t>Çalışan Müslüman bir bayan iş yerinde hijyen kurallarına uymak zorunda olduğu için kolunun dirsekten ellere kadar olan kısmı açık halde çalışabilir mi?</w:t>
      </w:r>
    </w:p>
    <w:p w:rsidR="00065709" w:rsidRPr="00717EB0" w:rsidRDefault="00065709" w:rsidP="00065709">
      <w:pPr>
        <w:spacing w:after="0"/>
        <w:ind w:firstLine="708"/>
        <w:jc w:val="both"/>
        <w:rPr>
          <w:rFonts w:asciiTheme="majorHAnsi" w:hAnsiTheme="majorHAnsi"/>
          <w:sz w:val="24"/>
          <w:szCs w:val="24"/>
          <w:lang w:val="tr-TR"/>
        </w:rPr>
      </w:pPr>
      <w:r w:rsidRPr="00717EB0">
        <w:rPr>
          <w:rFonts w:asciiTheme="majorHAnsi" w:hAnsiTheme="majorHAnsi"/>
          <w:sz w:val="24"/>
          <w:szCs w:val="24"/>
          <w:lang w:val="tr-TR"/>
        </w:rPr>
        <w:t xml:space="preserve">Bir müslüman hanımın, hijyen kuralları sebebiyle olsa da, kolları açık çalışması zorunluluk hallerinin dışında caiz olmaz. Zorunluluk hali de hastalık ve benzeri sebeplerdir. </w:t>
      </w:r>
    </w:p>
    <w:p w:rsidR="00065709" w:rsidRPr="00717EB0" w:rsidRDefault="00065709" w:rsidP="00065709">
      <w:pPr>
        <w:spacing w:after="0"/>
        <w:jc w:val="both"/>
        <w:rPr>
          <w:rFonts w:asciiTheme="majorHAnsi" w:hAnsiTheme="majorHAnsi"/>
          <w:sz w:val="24"/>
          <w:szCs w:val="24"/>
          <w:lang w:val="tr-TR"/>
        </w:rPr>
      </w:pPr>
      <w:r w:rsidRPr="00717EB0">
        <w:rPr>
          <w:rFonts w:asciiTheme="majorHAnsi" w:hAnsiTheme="majorHAnsi"/>
          <w:sz w:val="24"/>
          <w:szCs w:val="24"/>
          <w:lang w:val="tr-TR"/>
        </w:rPr>
        <w:t xml:space="preserve"> </w:t>
      </w:r>
    </w:p>
    <w:p w:rsidR="003602AB" w:rsidRPr="00AF2038" w:rsidRDefault="003602AB" w:rsidP="00065709">
      <w:pPr>
        <w:spacing w:after="0"/>
        <w:jc w:val="right"/>
        <w:rPr>
          <w:rFonts w:asciiTheme="majorHAnsi" w:hAnsiTheme="majorHAnsi"/>
          <w:b/>
          <w:bCs/>
          <w:lang w:val="tr-TR"/>
        </w:rPr>
      </w:pPr>
      <w:bookmarkStart w:id="0" w:name="_GoBack"/>
      <w:bookmarkEnd w:id="0"/>
    </w:p>
    <w:sectPr w:rsidR="003602AB" w:rsidRPr="00AF203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4C" w:rsidRDefault="00F9404C" w:rsidP="002C2FFC">
      <w:pPr>
        <w:spacing w:after="0" w:line="240" w:lineRule="auto"/>
      </w:pPr>
      <w:r>
        <w:separator/>
      </w:r>
    </w:p>
  </w:endnote>
  <w:endnote w:type="continuationSeparator" w:id="0">
    <w:p w:rsidR="00F9404C" w:rsidRDefault="00F9404C" w:rsidP="002C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B0" w:rsidRDefault="00717EB0">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Pr="00717EB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17EB0" w:rsidRDefault="00717E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4C" w:rsidRDefault="00F9404C" w:rsidP="002C2FFC">
      <w:pPr>
        <w:spacing w:after="0" w:line="240" w:lineRule="auto"/>
      </w:pPr>
      <w:r>
        <w:separator/>
      </w:r>
    </w:p>
  </w:footnote>
  <w:footnote w:type="continuationSeparator" w:id="0">
    <w:p w:rsidR="00F9404C" w:rsidRDefault="00F9404C" w:rsidP="002C2FFC">
      <w:pPr>
        <w:spacing w:after="0" w:line="240" w:lineRule="auto"/>
      </w:pPr>
      <w:r>
        <w:continuationSeparator/>
      </w:r>
    </w:p>
  </w:footnote>
  <w:footnote w:id="1">
    <w:p w:rsidR="002C2FFC" w:rsidRPr="00890E68" w:rsidRDefault="002C2FFC" w:rsidP="002C2FFC">
      <w:pPr>
        <w:pStyle w:val="Funotentext"/>
        <w:spacing w:after="0"/>
        <w:rPr>
          <w:rFonts w:ascii="Cambria" w:hAnsi="Cambria"/>
        </w:rPr>
      </w:pPr>
      <w:r w:rsidRPr="00890E68">
        <w:rPr>
          <w:rStyle w:val="Funotenzeichen"/>
          <w:rFonts w:ascii="Cambria" w:hAnsi="Cambria"/>
        </w:rPr>
        <w:footnoteRef/>
      </w:r>
      <w:r w:rsidRPr="00890E68">
        <w:rPr>
          <w:rFonts w:ascii="Cambria" w:hAnsi="Cambria"/>
        </w:rPr>
        <w:t xml:space="preserve"> A'râf, 7:27</w:t>
      </w:r>
    </w:p>
  </w:footnote>
  <w:footnote w:id="2">
    <w:p w:rsidR="002C2FFC" w:rsidRPr="00890E68" w:rsidRDefault="002C2FFC" w:rsidP="002C2FFC">
      <w:pPr>
        <w:pStyle w:val="Funotentext"/>
        <w:spacing w:after="0"/>
        <w:rPr>
          <w:rFonts w:ascii="Cambria" w:hAnsi="Cambria"/>
          <w:lang w:val="tr-TR"/>
        </w:rPr>
      </w:pPr>
      <w:r w:rsidRPr="00890E68">
        <w:rPr>
          <w:rStyle w:val="Funotenzeichen"/>
          <w:rFonts w:ascii="Cambria" w:hAnsi="Cambria"/>
        </w:rPr>
        <w:footnoteRef/>
      </w:r>
      <w:r w:rsidRPr="00890E68">
        <w:rPr>
          <w:rFonts w:ascii="Cambria" w:hAnsi="Cambria"/>
          <w:lang w:val="tr-TR"/>
        </w:rPr>
        <w:t xml:space="preserve"> Taha, 20:121</w:t>
      </w:r>
    </w:p>
  </w:footnote>
  <w:footnote w:id="3">
    <w:p w:rsidR="00E80188" w:rsidRPr="00890E68" w:rsidRDefault="00E80188" w:rsidP="00E80188">
      <w:pPr>
        <w:pStyle w:val="Funotentext"/>
        <w:spacing w:after="0"/>
        <w:rPr>
          <w:rFonts w:ascii="Cambria" w:hAnsi="Cambria"/>
          <w:lang w:val="tr-TR"/>
        </w:rPr>
      </w:pPr>
      <w:r w:rsidRPr="00890E68">
        <w:rPr>
          <w:rStyle w:val="Funotenzeichen"/>
          <w:rFonts w:ascii="Cambria" w:hAnsi="Cambria"/>
        </w:rPr>
        <w:footnoteRef/>
      </w:r>
      <w:r w:rsidRPr="00890E68">
        <w:rPr>
          <w:rFonts w:ascii="Cambria" w:hAnsi="Cambria"/>
          <w:lang w:val="tr-TR"/>
        </w:rPr>
        <w:t xml:space="preserve"> A'raf, 7:31</w:t>
      </w:r>
    </w:p>
  </w:footnote>
  <w:footnote w:id="4">
    <w:p w:rsidR="00E80188" w:rsidRPr="00890E68" w:rsidRDefault="00E80188" w:rsidP="00E80188">
      <w:pPr>
        <w:pStyle w:val="Funotentext"/>
        <w:spacing w:after="0"/>
        <w:rPr>
          <w:rFonts w:ascii="Cambria" w:hAnsi="Cambria"/>
          <w:lang w:val="tr-TR"/>
        </w:rPr>
      </w:pPr>
      <w:r w:rsidRPr="00890E68">
        <w:rPr>
          <w:rStyle w:val="Funotenzeichen"/>
          <w:rFonts w:ascii="Cambria" w:hAnsi="Cambria"/>
        </w:rPr>
        <w:footnoteRef/>
      </w:r>
      <w:r w:rsidRPr="00890E68">
        <w:rPr>
          <w:rFonts w:ascii="Cambria" w:hAnsi="Cambria"/>
          <w:lang w:val="tr-TR"/>
        </w:rPr>
        <w:t xml:space="preserve"> Ebu Bekr el-Cassas, Ahkamu'l-Kur'an. tahk. M. es-Sadık Kamhavî Kahire (t.y.), IV, 205 vd.; Elmalılı, Hak Dini Kur’an Dili, C.III, Shf. 2151-2152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4996FBA16F1F4ABB94AE6CCE3DB56C6C"/>
      </w:placeholder>
      <w:dataBinding w:prefixMappings="xmlns:ns0='http://schemas.openxmlformats.org/package/2006/metadata/core-properties' xmlns:ns1='http://purl.org/dc/elements/1.1/'" w:xpath="/ns0:coreProperties[1]/ns1:title[1]" w:storeItemID="{6C3C8BC8-F283-45AE-878A-BAB7291924A1}"/>
      <w:text/>
    </w:sdtPr>
    <w:sdtContent>
      <w:p w:rsidR="00717EB0" w:rsidRDefault="00717EB0">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IGMG FIKIH KÖŞESİ</w:t>
        </w:r>
      </w:p>
    </w:sdtContent>
  </w:sdt>
  <w:p w:rsidR="00717EB0" w:rsidRDefault="00717E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B62C8"/>
    <w:multiLevelType w:val="hybridMultilevel"/>
    <w:tmpl w:val="8656FF78"/>
    <w:lvl w:ilvl="0" w:tplc="7D743E6E">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FA"/>
    <w:rsid w:val="00065709"/>
    <w:rsid w:val="001071D6"/>
    <w:rsid w:val="0011454C"/>
    <w:rsid w:val="00223B82"/>
    <w:rsid w:val="002C2FFC"/>
    <w:rsid w:val="003602AB"/>
    <w:rsid w:val="005C5137"/>
    <w:rsid w:val="006365FA"/>
    <w:rsid w:val="00717EB0"/>
    <w:rsid w:val="0083374F"/>
    <w:rsid w:val="00AF2038"/>
    <w:rsid w:val="00D8480C"/>
    <w:rsid w:val="00E517B4"/>
    <w:rsid w:val="00E80188"/>
    <w:rsid w:val="00F42BFE"/>
    <w:rsid w:val="00F91C03"/>
    <w:rsid w:val="00F940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5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65FA"/>
    <w:pPr>
      <w:ind w:left="720"/>
      <w:contextualSpacing/>
    </w:pPr>
  </w:style>
  <w:style w:type="paragraph" w:styleId="Funotentext">
    <w:name w:val="footnote text"/>
    <w:basedOn w:val="Standard"/>
    <w:link w:val="FunotentextZchn"/>
    <w:uiPriority w:val="99"/>
    <w:semiHidden/>
    <w:unhideWhenUsed/>
    <w:rsid w:val="002C2FFC"/>
    <w:rPr>
      <w:rFonts w:ascii="Calibri" w:eastAsia="Calibri" w:hAnsi="Calibri" w:cs="Arial"/>
      <w:sz w:val="20"/>
      <w:szCs w:val="20"/>
      <w:lang w:val="nl-NL"/>
    </w:rPr>
  </w:style>
  <w:style w:type="character" w:customStyle="1" w:styleId="FunotentextZchn">
    <w:name w:val="Fußnotentext Zchn"/>
    <w:basedOn w:val="Absatz-Standardschriftart"/>
    <w:link w:val="Funotentext"/>
    <w:uiPriority w:val="99"/>
    <w:semiHidden/>
    <w:rsid w:val="002C2FFC"/>
    <w:rPr>
      <w:rFonts w:ascii="Calibri" w:eastAsia="Calibri" w:hAnsi="Calibri" w:cs="Arial"/>
      <w:sz w:val="20"/>
      <w:szCs w:val="20"/>
      <w:lang w:val="nl-NL"/>
    </w:rPr>
  </w:style>
  <w:style w:type="character" w:styleId="Funotenzeichen">
    <w:name w:val="footnote reference"/>
    <w:uiPriority w:val="99"/>
    <w:semiHidden/>
    <w:unhideWhenUsed/>
    <w:rsid w:val="002C2FFC"/>
    <w:rPr>
      <w:vertAlign w:val="superscript"/>
    </w:rPr>
  </w:style>
  <w:style w:type="paragraph" w:styleId="Kopfzeile">
    <w:name w:val="header"/>
    <w:basedOn w:val="Standard"/>
    <w:link w:val="KopfzeileZchn"/>
    <w:uiPriority w:val="99"/>
    <w:unhideWhenUsed/>
    <w:rsid w:val="00717E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EB0"/>
  </w:style>
  <w:style w:type="paragraph" w:styleId="Fuzeile">
    <w:name w:val="footer"/>
    <w:basedOn w:val="Standard"/>
    <w:link w:val="FuzeileZchn"/>
    <w:uiPriority w:val="99"/>
    <w:unhideWhenUsed/>
    <w:rsid w:val="00717E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EB0"/>
  </w:style>
  <w:style w:type="paragraph" w:styleId="Sprechblasentext">
    <w:name w:val="Balloon Text"/>
    <w:basedOn w:val="Standard"/>
    <w:link w:val="SprechblasentextZchn"/>
    <w:uiPriority w:val="99"/>
    <w:semiHidden/>
    <w:unhideWhenUsed/>
    <w:rsid w:val="00717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5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65FA"/>
    <w:pPr>
      <w:ind w:left="720"/>
      <w:contextualSpacing/>
    </w:pPr>
  </w:style>
  <w:style w:type="paragraph" w:styleId="Funotentext">
    <w:name w:val="footnote text"/>
    <w:basedOn w:val="Standard"/>
    <w:link w:val="FunotentextZchn"/>
    <w:uiPriority w:val="99"/>
    <w:semiHidden/>
    <w:unhideWhenUsed/>
    <w:rsid w:val="002C2FFC"/>
    <w:rPr>
      <w:rFonts w:ascii="Calibri" w:eastAsia="Calibri" w:hAnsi="Calibri" w:cs="Arial"/>
      <w:sz w:val="20"/>
      <w:szCs w:val="20"/>
      <w:lang w:val="nl-NL"/>
    </w:rPr>
  </w:style>
  <w:style w:type="character" w:customStyle="1" w:styleId="FunotentextZchn">
    <w:name w:val="Fußnotentext Zchn"/>
    <w:basedOn w:val="Absatz-Standardschriftart"/>
    <w:link w:val="Funotentext"/>
    <w:uiPriority w:val="99"/>
    <w:semiHidden/>
    <w:rsid w:val="002C2FFC"/>
    <w:rPr>
      <w:rFonts w:ascii="Calibri" w:eastAsia="Calibri" w:hAnsi="Calibri" w:cs="Arial"/>
      <w:sz w:val="20"/>
      <w:szCs w:val="20"/>
      <w:lang w:val="nl-NL"/>
    </w:rPr>
  </w:style>
  <w:style w:type="character" w:styleId="Funotenzeichen">
    <w:name w:val="footnote reference"/>
    <w:uiPriority w:val="99"/>
    <w:semiHidden/>
    <w:unhideWhenUsed/>
    <w:rsid w:val="002C2FFC"/>
    <w:rPr>
      <w:vertAlign w:val="superscript"/>
    </w:rPr>
  </w:style>
  <w:style w:type="paragraph" w:styleId="Kopfzeile">
    <w:name w:val="header"/>
    <w:basedOn w:val="Standard"/>
    <w:link w:val="KopfzeileZchn"/>
    <w:uiPriority w:val="99"/>
    <w:unhideWhenUsed/>
    <w:rsid w:val="00717E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EB0"/>
  </w:style>
  <w:style w:type="paragraph" w:styleId="Fuzeile">
    <w:name w:val="footer"/>
    <w:basedOn w:val="Standard"/>
    <w:link w:val="FuzeileZchn"/>
    <w:uiPriority w:val="99"/>
    <w:unhideWhenUsed/>
    <w:rsid w:val="00717E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EB0"/>
  </w:style>
  <w:style w:type="paragraph" w:styleId="Sprechblasentext">
    <w:name w:val="Balloon Text"/>
    <w:basedOn w:val="Standard"/>
    <w:link w:val="SprechblasentextZchn"/>
    <w:uiPriority w:val="99"/>
    <w:semiHidden/>
    <w:unhideWhenUsed/>
    <w:rsid w:val="00717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6FBA16F1F4ABB94AE6CCE3DB56C6C"/>
        <w:category>
          <w:name w:val="Allgemein"/>
          <w:gallery w:val="placeholder"/>
        </w:category>
        <w:types>
          <w:type w:val="bbPlcHdr"/>
        </w:types>
        <w:behaviors>
          <w:behavior w:val="content"/>
        </w:behaviors>
        <w:guid w:val="{C20A5020-06BD-444B-916E-F2C949BE7E46}"/>
      </w:docPartPr>
      <w:docPartBody>
        <w:p w:rsidR="00000000" w:rsidRDefault="005D1B8E" w:rsidP="005D1B8E">
          <w:pPr>
            <w:pStyle w:val="4996FBA16F1F4ABB94AE6CCE3DB56C6C"/>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8E"/>
    <w:rsid w:val="005022F8"/>
    <w:rsid w:val="005D1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996FBA16F1F4ABB94AE6CCE3DB56C6C">
    <w:name w:val="4996FBA16F1F4ABB94AE6CCE3DB56C6C"/>
    <w:rsid w:val="005D1B8E"/>
  </w:style>
  <w:style w:type="paragraph" w:customStyle="1" w:styleId="324EF90822EA473DBBB4B253EE9CA76A">
    <w:name w:val="324EF90822EA473DBBB4B253EE9CA76A"/>
    <w:rsid w:val="005D1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996FBA16F1F4ABB94AE6CCE3DB56C6C">
    <w:name w:val="4996FBA16F1F4ABB94AE6CCE3DB56C6C"/>
    <w:rsid w:val="005D1B8E"/>
  </w:style>
  <w:style w:type="paragraph" w:customStyle="1" w:styleId="324EF90822EA473DBBB4B253EE9CA76A">
    <w:name w:val="324EF90822EA473DBBB4B253EE9CA76A"/>
    <w:rsid w:val="005D1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251F-D239-4A2E-8327-2883E6C0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FIKIH KÖŞESİ</dc:title>
  <dc:creator>IK</dc:creator>
  <cp:lastModifiedBy>Tesk-Mobil 02</cp:lastModifiedBy>
  <cp:revision>2</cp:revision>
  <dcterms:created xsi:type="dcterms:W3CDTF">2013-03-26T17:06:00Z</dcterms:created>
  <dcterms:modified xsi:type="dcterms:W3CDTF">2013-03-26T17:06:00Z</dcterms:modified>
</cp:coreProperties>
</file>